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both"/>
        <w:rPr>
          <w:rFonts w:hint="default" w:ascii="仿宋" w:hAnsi="仿宋" w:eastAsia="仿宋" w:cs="仿宋"/>
          <w:b/>
          <w:color w:val="000000"/>
          <w:sz w:val="24"/>
          <w:szCs w:val="24"/>
          <w:lang w:val="en-US" w:eastAsia="zh-CN"/>
        </w:rPr>
      </w:pPr>
      <w:r>
        <w:rPr>
          <w:rFonts w:hint="eastAsia" w:cs="仿宋"/>
          <w:b/>
          <w:color w:val="000000"/>
          <w:sz w:val="24"/>
          <w:szCs w:val="24"/>
          <w:lang w:val="en-US" w:eastAsia="zh-CN"/>
        </w:rPr>
        <w:t>附件1：</w:t>
      </w:r>
    </w:p>
    <w:p>
      <w:pPr>
        <w:spacing w:line="36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吉首大学专职辅导员年度工作考核测评表</w:t>
      </w:r>
    </w:p>
    <w:p>
      <w:pPr>
        <w:spacing w:line="360" w:lineRule="exact"/>
        <w:jc w:val="center"/>
        <w:rPr>
          <w:rFonts w:hint="eastAsia" w:ascii="仿宋" w:hAnsi="仿宋" w:eastAsia="仿宋" w:cs="仿宋"/>
          <w:color w:val="000000"/>
          <w:sz w:val="30"/>
          <w:szCs w:val="30"/>
        </w:rPr>
      </w:pPr>
    </w:p>
    <w:p>
      <w:pPr>
        <w:spacing w:line="360" w:lineRule="exact"/>
        <w:jc w:val="center"/>
        <w:rPr>
          <w:rFonts w:hint="eastAsia" w:ascii="仿宋" w:hAnsi="仿宋" w:eastAsia="仿宋" w:cs="仿宋"/>
          <w:b/>
          <w:color w:val="000000"/>
          <w:sz w:val="30"/>
          <w:szCs w:val="30"/>
        </w:rPr>
      </w:pPr>
      <w:r>
        <w:rPr>
          <w:rFonts w:hint="eastAsia" w:ascii="仿宋" w:hAnsi="仿宋" w:eastAsia="仿宋" w:cs="仿宋"/>
          <w:color w:val="000000"/>
          <w:sz w:val="30"/>
          <w:szCs w:val="30"/>
        </w:rPr>
        <w:t>（学生用表 占25%）</w:t>
      </w:r>
    </w:p>
    <w:p>
      <w:pPr>
        <w:spacing w:line="360" w:lineRule="exact"/>
        <w:rPr>
          <w:rFonts w:hint="eastAsia" w:ascii="楷体" w:hAnsi="楷体" w:eastAsia="楷体" w:cs="楷体"/>
          <w:color w:val="000000"/>
          <w:sz w:val="30"/>
          <w:szCs w:val="3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393"/>
        <w:gridCol w:w="166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34" w:type="dxa"/>
            <w:vMerge w:val="restart"/>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注意事项</w:t>
            </w:r>
          </w:p>
        </w:tc>
        <w:tc>
          <w:tcPr>
            <w:tcW w:w="5393" w:type="dxa"/>
            <w:vMerge w:val="restart"/>
            <w:noWrap w:val="0"/>
            <w:vAlign w:val="top"/>
          </w:tcPr>
          <w:p>
            <w:pPr>
              <w:spacing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“Ａ”表示很满意</w:t>
            </w:r>
          </w:p>
          <w:p>
            <w:pPr>
              <w:spacing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“Ｂ”表示比较满意</w:t>
            </w:r>
          </w:p>
          <w:p>
            <w:pPr>
              <w:spacing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“Ｃ”表示一般</w:t>
            </w:r>
          </w:p>
          <w:p>
            <w:pPr>
              <w:spacing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“Ｄ”表示不满意</w:t>
            </w:r>
          </w:p>
          <w:p>
            <w:pPr>
              <w:spacing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＊评价原则：客观、公正、准确</w:t>
            </w:r>
          </w:p>
          <w:p>
            <w:pPr>
              <w:spacing w:line="36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＊学生不署名</w:t>
            </w:r>
          </w:p>
        </w:tc>
        <w:tc>
          <w:tcPr>
            <w:tcW w:w="4181" w:type="dxa"/>
            <w:gridSpan w:val="2"/>
            <w:noWrap w:val="0"/>
            <w:vAlign w:val="center"/>
          </w:tcPr>
          <w:p>
            <w:pPr>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4" w:type="dxa"/>
            <w:vMerge w:val="continue"/>
            <w:noWrap w:val="0"/>
            <w:vAlign w:val="top"/>
          </w:tcPr>
          <w:p>
            <w:pPr>
              <w:spacing w:line="360" w:lineRule="exact"/>
              <w:rPr>
                <w:rFonts w:hint="eastAsia" w:ascii="仿宋" w:hAnsi="仿宋" w:eastAsia="仿宋" w:cs="仿宋"/>
                <w:color w:val="000000"/>
                <w:sz w:val="21"/>
                <w:szCs w:val="21"/>
              </w:rPr>
            </w:pPr>
          </w:p>
        </w:tc>
        <w:tc>
          <w:tcPr>
            <w:tcW w:w="5393" w:type="dxa"/>
            <w:vMerge w:val="continue"/>
            <w:noWrap w:val="0"/>
            <w:vAlign w:val="top"/>
          </w:tcPr>
          <w:p>
            <w:pPr>
              <w:spacing w:line="360" w:lineRule="exact"/>
              <w:rPr>
                <w:rFonts w:hint="eastAsia" w:ascii="仿宋" w:hAnsi="仿宋" w:eastAsia="仿宋" w:cs="仿宋"/>
                <w:color w:val="000000"/>
                <w:sz w:val="21"/>
                <w:szCs w:val="21"/>
              </w:rPr>
            </w:pPr>
          </w:p>
        </w:tc>
        <w:tc>
          <w:tcPr>
            <w:tcW w:w="4181" w:type="dxa"/>
            <w:gridSpan w:val="2"/>
            <w:noWrap w:val="0"/>
            <w:vAlign w:val="center"/>
          </w:tcPr>
          <w:p>
            <w:pPr>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学院：             年级或班级：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34" w:type="dxa"/>
            <w:vMerge w:val="continue"/>
            <w:noWrap w:val="0"/>
            <w:vAlign w:val="top"/>
          </w:tcPr>
          <w:p>
            <w:pPr>
              <w:spacing w:line="360" w:lineRule="exact"/>
              <w:rPr>
                <w:rFonts w:hint="eastAsia" w:ascii="仿宋" w:hAnsi="仿宋" w:eastAsia="仿宋" w:cs="仿宋"/>
                <w:color w:val="000000"/>
                <w:sz w:val="21"/>
                <w:szCs w:val="21"/>
              </w:rPr>
            </w:pPr>
          </w:p>
        </w:tc>
        <w:tc>
          <w:tcPr>
            <w:tcW w:w="5393" w:type="dxa"/>
            <w:vMerge w:val="continue"/>
            <w:noWrap w:val="0"/>
            <w:vAlign w:val="top"/>
          </w:tcPr>
          <w:p>
            <w:pPr>
              <w:spacing w:line="360" w:lineRule="exact"/>
              <w:rPr>
                <w:rFonts w:hint="eastAsia" w:ascii="仿宋" w:hAnsi="仿宋" w:eastAsia="仿宋" w:cs="仿宋"/>
                <w:color w:val="000000"/>
                <w:sz w:val="21"/>
                <w:szCs w:val="21"/>
              </w:rPr>
            </w:pPr>
          </w:p>
        </w:tc>
        <w:tc>
          <w:tcPr>
            <w:tcW w:w="4181" w:type="dxa"/>
            <w:gridSpan w:val="2"/>
            <w:noWrap w:val="0"/>
            <w:vAlign w:val="center"/>
          </w:tcPr>
          <w:p>
            <w:pPr>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辅导员姓名：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34" w:type="dxa"/>
            <w:vMerge w:val="continue"/>
            <w:noWrap w:val="0"/>
            <w:vAlign w:val="top"/>
          </w:tcPr>
          <w:p>
            <w:pPr>
              <w:spacing w:line="360" w:lineRule="exact"/>
              <w:rPr>
                <w:rFonts w:hint="eastAsia" w:ascii="仿宋" w:hAnsi="仿宋" w:eastAsia="仿宋" w:cs="仿宋"/>
                <w:color w:val="000000"/>
                <w:sz w:val="21"/>
                <w:szCs w:val="21"/>
              </w:rPr>
            </w:pPr>
          </w:p>
        </w:tc>
        <w:tc>
          <w:tcPr>
            <w:tcW w:w="5393" w:type="dxa"/>
            <w:vMerge w:val="continue"/>
            <w:noWrap w:val="0"/>
            <w:vAlign w:val="top"/>
          </w:tcPr>
          <w:p>
            <w:pPr>
              <w:spacing w:line="360" w:lineRule="exact"/>
              <w:rPr>
                <w:rFonts w:hint="eastAsia" w:ascii="仿宋" w:hAnsi="仿宋" w:eastAsia="仿宋" w:cs="仿宋"/>
                <w:color w:val="000000"/>
                <w:sz w:val="21"/>
                <w:szCs w:val="21"/>
              </w:rPr>
            </w:pPr>
          </w:p>
        </w:tc>
        <w:tc>
          <w:tcPr>
            <w:tcW w:w="4181" w:type="dxa"/>
            <w:gridSpan w:val="2"/>
            <w:noWrap w:val="0"/>
            <w:vAlign w:val="center"/>
          </w:tcPr>
          <w:p>
            <w:pPr>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得分（总分*25%）：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１.思想政治素质高，道德品质好，以身作则，为人师表，责任心强，关心、爱护、体贴学生，工作吃苦耐劳，甘于奉献，富有创新精神。</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２.业务能力强，善于听取学生意见并及时加以改正或改进，注重工作方式方法和效果，语言表达能力强，能够及时、准确传达与学生密切相关的重要信息和会议精神。</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３.辅导员能定期和不定期结合实际情况亲临一线指导学生开展政治与时事教育，每学期指导主题班会，其中与学风建设、学习方法、就业指导等相关主题班会至少1次，效果明显。</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4.经常深入学生寝室、教室，主动询问、了解、收集学生的思想、学习生活中存在的问题，积极引导、解决，并及时向相关领导和部门反映。</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5.学生综合素质考评、学生干部任用、评优、评奖、申贷、助学、违纪处分、推荐入党等工作程序规范，公开、公平、公正。</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６.积极开展文明修身教育，重视“优秀班集体”创建和“先进团支部”创建；重视家庭经济困难学生的帮扶工作；重视加强学生心理健康教育。</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７.重视班团建设，班团干部队伍选拔公开、公平、公正，经常培训指导班团干部开展工作；认真组织学生参加学院和学校举办的各种活动。</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８.所带年级或班级学风正，迟到、旷课、补考人次低，课堂出勤率高，违反校纪校规人数低。</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488" w:type="dxa"/>
            <w:gridSpan w:val="3"/>
            <w:noWrap w:val="0"/>
            <w:vAlign w:val="center"/>
          </w:tcPr>
          <w:p>
            <w:pPr>
              <w:spacing w:line="360" w:lineRule="exact"/>
              <w:ind w:left="360" w:hanging="420" w:hanging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９.积极组织并指导学生参加社会实践并开展课内外科技文化活动，注重对学生的职业规划、设计及全程就业指导，就业信息传递准确，就业推荐认真负责。</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488" w:type="dxa"/>
            <w:gridSpan w:val="3"/>
            <w:noWrap w:val="0"/>
            <w:vAlign w:val="center"/>
          </w:tcPr>
          <w:p>
            <w:pPr>
              <w:spacing w:before="240" w:line="360" w:lineRule="exact"/>
              <w:ind w:left="360" w:hanging="420" w:hangingChars="2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10.重视学校、家庭、社会三位一体育人模式，有与学生家长及时沟通的相关办法。</w:t>
            </w:r>
          </w:p>
        </w:tc>
        <w:tc>
          <w:tcPr>
            <w:tcW w:w="2520" w:type="dxa"/>
            <w:noWrap w:val="0"/>
            <w:vAlign w:val="center"/>
          </w:tcPr>
          <w:p>
            <w:pPr>
              <w:spacing w:line="36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[A]  [B]  [C]  [D]</w:t>
            </w:r>
          </w:p>
        </w:tc>
      </w:tr>
    </w:tbl>
    <w:p>
      <w:pPr>
        <w:spacing w:line="36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注：1.本表由学院组织学生测评，辅导员应回避自己所带年级或班级的学生测评组织工作。</w:t>
      </w:r>
    </w:p>
    <w:p>
      <w:pPr>
        <w:spacing w:line="360" w:lineRule="exact"/>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2.在统计得分时，“Ａ”、“Ｂ”、“Ｃ”、“Ｄ”分别为10、9、8、6分，总分以所占比例计。</w:t>
      </w:r>
    </w:p>
    <w:p>
      <w:pPr>
        <w:spacing w:line="360" w:lineRule="exact"/>
        <w:ind w:firstLine="411" w:firstLineChars="196"/>
      </w:pPr>
      <w:r>
        <w:rPr>
          <w:rFonts w:hint="eastAsia" w:ascii="仿宋" w:hAnsi="仿宋" w:eastAsia="仿宋" w:cs="仿宋"/>
          <w:bCs/>
          <w:color w:val="000000"/>
          <w:sz w:val="21"/>
          <w:szCs w:val="21"/>
        </w:rPr>
        <w:t>3.</w:t>
      </w:r>
      <w:r>
        <w:rPr>
          <w:rFonts w:hint="eastAsia" w:ascii="仿宋" w:hAnsi="仿宋" w:eastAsia="仿宋" w:cs="仿宋"/>
          <w:color w:val="000000"/>
          <w:sz w:val="21"/>
          <w:szCs w:val="21"/>
        </w:rPr>
        <w:t>最后得分汇总保留小数点后两位数。</w:t>
      </w:r>
      <w:bookmarkStart w:id="0" w:name="_GoBack"/>
      <w:bookmarkEnd w:id="0"/>
    </w:p>
    <w:sectPr>
      <w:pgSz w:w="11906" w:h="16838"/>
      <w:pgMar w:top="1120" w:right="1800"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45CCC"/>
    <w:rsid w:val="25E4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2021-12-25T02:39:00Z</dcterms:created>
  <dc:creator>彭校辉</dc:creator>
  <cp:lastModifiedBy>彭校辉</cp:lastModifiedBy>
  <dcterms:modified xsi:type="dcterms:W3CDTF">2021-12-25T02:40:23Z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8E050157962749D8AB357B4159B25262</vt:lpwstr>
  </property>
</Properties>
</file>